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C18B" w14:textId="77777777" w:rsidR="002700D5" w:rsidRPr="002700D5" w:rsidRDefault="002700D5" w:rsidP="00A87ABF">
      <w:pPr>
        <w:shd w:val="clear" w:color="auto" w:fill="FFFFFF"/>
        <w:spacing w:after="168" w:line="240" w:lineRule="auto"/>
        <w:outlineLvl w:val="0"/>
        <w:rPr>
          <w:rFonts w:ascii="Museo Sans" w:eastAsia="Times New Roman" w:hAnsi="Museo Sans" w:cs="Times New Roman"/>
          <w:b/>
          <w:bCs/>
          <w:caps/>
          <w:color w:val="041E42"/>
          <w:spacing w:val="-3"/>
          <w:kern w:val="36"/>
          <w:sz w:val="42"/>
          <w:szCs w:val="42"/>
          <w:lang w:eastAsia="en-GB"/>
          <w14:ligatures w14:val="none"/>
        </w:rPr>
      </w:pPr>
      <w:r w:rsidRPr="002700D5">
        <w:rPr>
          <w:rFonts w:ascii="Museo Sans" w:eastAsia="Times New Roman" w:hAnsi="Museo Sans" w:cs="Times New Roman"/>
          <w:b/>
          <w:bCs/>
          <w:caps/>
          <w:color w:val="041E42"/>
          <w:spacing w:val="-3"/>
          <w:kern w:val="36"/>
          <w:sz w:val="42"/>
          <w:szCs w:val="42"/>
          <w:lang w:eastAsia="en-GB"/>
          <w14:ligatures w14:val="none"/>
        </w:rPr>
        <w:t>TERMENI ȘI CONDIȚII GENERALE DE VÂNZARE</w:t>
      </w:r>
    </w:p>
    <w:p w14:paraId="6E4732E2" w14:textId="7C6CB8C7" w:rsidR="009036E0" w:rsidRPr="002700D5" w:rsidRDefault="009036E0" w:rsidP="007304F4">
      <w:pPr>
        <w:shd w:val="clear" w:color="auto" w:fill="FFFFFF"/>
        <w:spacing w:after="225" w:line="390" w:lineRule="atLeast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proofErr w:type="spellStart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4"/>
          <w:szCs w:val="24"/>
          <w:lang w:eastAsia="en-GB"/>
          <w14:ligatures w14:val="none"/>
        </w:rPr>
        <w:t>Termeni</w:t>
      </w:r>
      <w:proofErr w:type="spellEnd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4"/>
          <w:szCs w:val="24"/>
          <w:lang w:eastAsia="en-GB"/>
          <w14:ligatures w14:val="none"/>
        </w:rPr>
        <w:t>condiții</w:t>
      </w:r>
      <w:proofErr w:type="spellEnd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4"/>
          <w:szCs w:val="24"/>
          <w:lang w:eastAsia="en-GB"/>
          <w14:ligatures w14:val="none"/>
        </w:rPr>
        <w:t>generale</w:t>
      </w:r>
      <w:proofErr w:type="spellEnd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4"/>
          <w:szCs w:val="24"/>
          <w:lang w:eastAsia="en-GB"/>
          <w14:ligatures w14:val="none"/>
        </w:rPr>
        <w:t>vânzare</w:t>
      </w:r>
      <w:proofErr w:type="spellEnd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4"/>
          <w:szCs w:val="24"/>
          <w:lang w:eastAsia="en-GB"/>
          <w14:ligatures w14:val="none"/>
        </w:rPr>
        <w:t xml:space="preserve"> ale Alcomex </w:t>
      </w:r>
      <w:r>
        <w:rPr>
          <w:rFonts w:ascii="Museo Sans" w:eastAsia="Times New Roman" w:hAnsi="Museo Sans" w:cs="Times New Roman"/>
          <w:b/>
          <w:bCs/>
          <w:color w:val="7C7C7C"/>
          <w:kern w:val="0"/>
          <w:sz w:val="24"/>
          <w:szCs w:val="24"/>
          <w:lang w:eastAsia="en-GB"/>
          <w14:ligatures w14:val="none"/>
        </w:rPr>
        <w:t>Arcuri S.R.L.</w:t>
      </w:r>
    </w:p>
    <w:p w14:paraId="3C77E7B6" w14:textId="77777777" w:rsidR="009036E0" w:rsidRPr="002700D5" w:rsidRDefault="009036E0" w:rsidP="007304F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 xml:space="preserve">1 </w:t>
      </w:r>
      <w:proofErr w:type="spellStart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>Generalități</w:t>
      </w:r>
      <w:proofErr w:type="spellEnd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 xml:space="preserve">, </w:t>
      </w:r>
      <w:proofErr w:type="spellStart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>domeniu</w:t>
      </w:r>
      <w:proofErr w:type="spellEnd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 xml:space="preserve"> de </w:t>
      </w:r>
      <w:proofErr w:type="spellStart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>aplicare</w:t>
      </w:r>
      <w:proofErr w:type="spellEnd"/>
    </w:p>
    <w:p w14:paraId="5F010243" w14:textId="5F9FF342" w:rsidR="009036E0" w:rsidRPr="002700D5" w:rsidRDefault="009036E0" w:rsidP="007304F4">
      <w:pPr>
        <w:shd w:val="clear" w:color="auto" w:fill="FFFFFF"/>
        <w:spacing w:after="225" w:line="390" w:lineRule="atLeast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(1)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Acești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Termeni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condiții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generale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vânzare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(TCG) se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aplică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tuturor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relațiilor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noastre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afaceri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cu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clienții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noștri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("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Cumpărători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"). TCG se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aplică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numai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cazul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care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cumpărătorul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este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un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antreprenor</w:t>
      </w:r>
      <w:proofErr w:type="spellEnd"/>
      <w:r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,</w:t>
      </w:r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o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persoană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juridică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drept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public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un fond special de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drept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public.</w:t>
      </w:r>
    </w:p>
    <w:p w14:paraId="51A579DB" w14:textId="317F17DA" w:rsidR="002700D5" w:rsidRPr="002700D5" w:rsidRDefault="00E23DCE" w:rsidP="007304F4">
      <w:pPr>
        <w:shd w:val="clear" w:color="auto" w:fill="FFFFFF"/>
        <w:spacing w:after="225" w:line="390" w:lineRule="atLeast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(2) TCG se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aplică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special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contractelor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vânzare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/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livrare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bunuri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mobile ("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bunuri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"),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indiferent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dacă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fabricăm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bunurile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înșine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le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cumpărăm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la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furnizori</w:t>
      </w:r>
      <w:proofErr w:type="spellEnd"/>
      <w:r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.</w:t>
      </w:r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r w:rsidR="00955F40"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Cu </w:t>
      </w:r>
      <w:proofErr w:type="spellStart"/>
      <w:r w:rsidR="00955F40"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excepția</w:t>
      </w:r>
      <w:proofErr w:type="spellEnd"/>
      <w:r w:rsidR="00955F40"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955F40"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cazului</w:t>
      </w:r>
      <w:proofErr w:type="spellEnd"/>
      <w:r w:rsidR="00955F40"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955F40"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="00955F40"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care s-a </w:t>
      </w:r>
      <w:proofErr w:type="spellStart"/>
      <w:r w:rsidR="00955F40"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convenit</w:t>
      </w:r>
      <w:proofErr w:type="spellEnd"/>
      <w:r w:rsidR="00955F40"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955F40"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altfel</w:t>
      </w:r>
      <w:proofErr w:type="spellEnd"/>
      <w:r w:rsidR="00955F40"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TCG </w:t>
      </w:r>
      <w:proofErr w:type="spellStart"/>
      <w:r w:rsidR="00955F40"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="00955F40"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955F40"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versiunea</w:t>
      </w:r>
      <w:proofErr w:type="spellEnd"/>
      <w:r w:rsidR="00955F40"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955F40"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valabilă</w:t>
      </w:r>
      <w:proofErr w:type="spellEnd"/>
      <w:r w:rsidR="00955F40"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="00955F40"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momentul</w:t>
      </w:r>
      <w:proofErr w:type="spellEnd"/>
      <w:r w:rsidR="00955F40"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955F40"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comenzii</w:t>
      </w:r>
      <w:proofErr w:type="spellEnd"/>
      <w:r w:rsidR="00955F40"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955F40"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cumpărătorului</w:t>
      </w:r>
      <w:proofErr w:type="spellEnd"/>
      <w:r w:rsidR="00955F40"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955F40"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="00955F40"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955F40"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disponibilă</w:t>
      </w:r>
      <w:proofErr w:type="spellEnd"/>
      <w:r w:rsidR="00955F40"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pe site-</w:t>
      </w:r>
      <w:proofErr w:type="spellStart"/>
      <w:r w:rsidR="00955F40"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ul</w:t>
      </w:r>
      <w:proofErr w:type="spellEnd"/>
      <w:r w:rsidR="00955F40"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web al Alcomex </w:t>
      </w:r>
      <w:r w:rsid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Arcuri </w:t>
      </w:r>
      <w:proofErr w:type="spellStart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disponibilă</w:t>
      </w:r>
      <w:proofErr w:type="spellEnd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fața</w:t>
      </w:r>
      <w:proofErr w:type="spellEnd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locului</w:t>
      </w:r>
      <w:proofErr w:type="spellEnd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se </w:t>
      </w:r>
      <w:proofErr w:type="spellStart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aplică</w:t>
      </w:r>
      <w:proofErr w:type="spellEnd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de </w:t>
      </w:r>
      <w:proofErr w:type="spellStart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asemenea</w:t>
      </w:r>
      <w:proofErr w:type="spellEnd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contractelor</w:t>
      </w:r>
      <w:proofErr w:type="spellEnd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viitoare</w:t>
      </w:r>
      <w:proofErr w:type="spellEnd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similare</w:t>
      </w:r>
      <w:proofErr w:type="spellEnd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fără</w:t>
      </w:r>
      <w:proofErr w:type="spellEnd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ca </w:t>
      </w:r>
      <w:proofErr w:type="spellStart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noi</w:t>
      </w:r>
      <w:proofErr w:type="spellEnd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trebuiască</w:t>
      </w:r>
      <w:proofErr w:type="spellEnd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ne </w:t>
      </w:r>
      <w:proofErr w:type="spellStart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referim</w:t>
      </w:r>
      <w:proofErr w:type="spellEnd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din </w:t>
      </w:r>
      <w:proofErr w:type="spellStart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nou</w:t>
      </w:r>
      <w:proofErr w:type="spellEnd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acestea</w:t>
      </w:r>
      <w:proofErr w:type="spellEnd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fiecare</w:t>
      </w:r>
      <w:proofErr w:type="spellEnd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caz</w:t>
      </w:r>
      <w:proofErr w:type="spellEnd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parte</w:t>
      </w:r>
      <w:proofErr w:type="spellEnd"/>
      <w:r w:rsidR="00316F8B" w:rsidRPr="00316F8B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.</w:t>
      </w:r>
    </w:p>
    <w:p w14:paraId="31F9760E" w14:textId="2BB3E147" w:rsidR="006047EA" w:rsidRDefault="006047EA" w:rsidP="007304F4">
      <w:pPr>
        <w:shd w:val="clear" w:color="auto" w:fill="FFFFFF"/>
        <w:spacing w:after="225" w:line="390" w:lineRule="atLeast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(3) TCG se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aplică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exclusiv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Condițiile</w:t>
      </w:r>
      <w:proofErr w:type="spellEnd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generale</w:t>
      </w:r>
      <w:proofErr w:type="spellEnd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vânzare</w:t>
      </w:r>
      <w:proofErr w:type="spellEnd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divergente</w:t>
      </w:r>
      <w:proofErr w:type="spellEnd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contradictorii</w:t>
      </w:r>
      <w:proofErr w:type="spellEnd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suplimentare</w:t>
      </w:r>
      <w:proofErr w:type="spellEnd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ale </w:t>
      </w:r>
      <w:proofErr w:type="spellStart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cumpărătorului</w:t>
      </w:r>
      <w:proofErr w:type="spellEnd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devin</w:t>
      </w:r>
      <w:proofErr w:type="spellEnd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parte</w:t>
      </w:r>
      <w:proofErr w:type="spellEnd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contractului</w:t>
      </w:r>
      <w:proofErr w:type="spellEnd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numai</w:t>
      </w:r>
      <w:proofErr w:type="spellEnd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dacă</w:t>
      </w:r>
      <w:proofErr w:type="spellEnd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măsura</w:t>
      </w:r>
      <w:proofErr w:type="spellEnd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care am </w:t>
      </w:r>
      <w:proofErr w:type="spellStart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acceptat</w:t>
      </w:r>
      <w:proofErr w:type="spellEnd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mod </w:t>
      </w:r>
      <w:proofErr w:type="spellStart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expres</w:t>
      </w:r>
      <w:proofErr w:type="spellEnd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scris</w:t>
      </w:r>
      <w:proofErr w:type="spellEnd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valabilitatea</w:t>
      </w:r>
      <w:proofErr w:type="spellEnd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acestora</w:t>
      </w:r>
      <w:proofErr w:type="spellEnd"/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.</w:t>
      </w:r>
      <w:r w:rsidRPr="006047EA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</w:p>
    <w:p w14:paraId="3210FEC9" w14:textId="77777777" w:rsidR="00281209" w:rsidRPr="002700D5" w:rsidRDefault="00281209" w:rsidP="007304F4">
      <w:pPr>
        <w:shd w:val="clear" w:color="auto" w:fill="FFFFFF"/>
        <w:spacing w:after="225" w:line="390" w:lineRule="atLeast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(4)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Acordurile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individuale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încheiate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cu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Cumpărătorul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cazuri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individuale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inclusiv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acordurile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auxiliare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completările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modificările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)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vor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avea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orice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caz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prioritate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față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acești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TCG.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Conținutul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acestor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acorduri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este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guvernat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gram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un contract</w:t>
      </w:r>
      <w:proofErr w:type="gram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scris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confirmarea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noastră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scrisă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.</w:t>
      </w:r>
    </w:p>
    <w:p w14:paraId="0F947C98" w14:textId="77777777" w:rsidR="000D0C6F" w:rsidRPr="002700D5" w:rsidRDefault="000D0C6F" w:rsidP="001D4E81">
      <w:pPr>
        <w:shd w:val="clear" w:color="auto" w:fill="FFFFFF"/>
        <w:spacing w:after="225" w:line="390" w:lineRule="atLeast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(5)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Declarațiile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notificările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relevante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din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punct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vedere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juridic care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trebuie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făcute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cumpărător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către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după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încheierea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contractului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(de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exemplu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termene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limită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notificări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defecte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declarație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retragere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reducere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)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trebuie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făcute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scris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 fi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eficiente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.</w:t>
      </w:r>
    </w:p>
    <w:p w14:paraId="2D301C46" w14:textId="77777777" w:rsidR="00E440FA" w:rsidRPr="002700D5" w:rsidRDefault="00E440FA" w:rsidP="001D4E8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 xml:space="preserve">2 </w:t>
      </w:r>
      <w:proofErr w:type="spellStart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>Încheierea</w:t>
      </w:r>
      <w:proofErr w:type="spellEnd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>contractului</w:t>
      </w:r>
      <w:proofErr w:type="spellEnd"/>
    </w:p>
    <w:p w14:paraId="4C2B22EA" w14:textId="535E7387" w:rsidR="00E440FA" w:rsidRPr="002700D5" w:rsidRDefault="00E440FA" w:rsidP="001D4E81">
      <w:pPr>
        <w:shd w:val="clear" w:color="auto" w:fill="FFFFFF"/>
        <w:spacing w:after="225" w:line="390" w:lineRule="atLeast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(1)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Ofertele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noastre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pot fi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modificate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nu sunt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obligatorii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Acest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lucru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este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valabil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cazul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care am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furnizat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am pus la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dispoziția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cumpărătorului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cataloage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documentație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tehnică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(de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exemplu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desene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calcule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referințe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standardele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DIN),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alte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descrieri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ale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produselor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documente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-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inclusiv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formă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electronică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- la care ne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rezervăm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dreptul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proprietate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drepturile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autor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.</w:t>
      </w:r>
    </w:p>
    <w:p w14:paraId="3666AB79" w14:textId="77777777" w:rsidR="00ED5FB8" w:rsidRPr="002700D5" w:rsidRDefault="00ED5FB8" w:rsidP="001D4E81">
      <w:pPr>
        <w:shd w:val="clear" w:color="auto" w:fill="FFFFFF"/>
        <w:spacing w:after="225" w:line="390" w:lineRule="atLeast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lastRenderedPageBreak/>
        <w:t xml:space="preserve">(2)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Comanda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mărfurilor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către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cumpărător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se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consideră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ofertă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contractuală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obligatorie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. Cu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excepția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cazului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care se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prevede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altfel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comandă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avem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dreptul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acceptăm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această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ofertă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contract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termen de 10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zile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la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primirea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acesteia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către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.</w:t>
      </w:r>
    </w:p>
    <w:p w14:paraId="1BCD1F38" w14:textId="77777777" w:rsidR="00ED5FB8" w:rsidRPr="002700D5" w:rsidRDefault="00ED5FB8" w:rsidP="001D4E81">
      <w:pPr>
        <w:shd w:val="clear" w:color="auto" w:fill="FFFFFF"/>
        <w:spacing w:after="225" w:line="390" w:lineRule="atLeast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(3)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Acceptarea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ofertei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devine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obligatorie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numai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după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confirmarea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comenzii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emise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cel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puțin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formă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text.</w:t>
      </w:r>
    </w:p>
    <w:p w14:paraId="6E0654C7" w14:textId="77777777" w:rsidR="008B2CDE" w:rsidRPr="002700D5" w:rsidRDefault="008B2CDE" w:rsidP="001D4E8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 xml:space="preserve">3 </w:t>
      </w:r>
      <w:proofErr w:type="spellStart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>Timpul</w:t>
      </w:r>
      <w:proofErr w:type="spellEnd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 xml:space="preserve"> de </w:t>
      </w:r>
      <w:proofErr w:type="spellStart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>livrare</w:t>
      </w:r>
      <w:proofErr w:type="spellEnd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>și</w:t>
      </w:r>
      <w:proofErr w:type="spellEnd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>întârzierea</w:t>
      </w:r>
      <w:proofErr w:type="spellEnd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>livrării</w:t>
      </w:r>
      <w:proofErr w:type="spellEnd"/>
    </w:p>
    <w:p w14:paraId="42F7F18D" w14:textId="77777777" w:rsidR="008B2CDE" w:rsidRPr="002700D5" w:rsidRDefault="008B2CDE" w:rsidP="001D4E81">
      <w:pPr>
        <w:shd w:val="clear" w:color="auto" w:fill="FFFFFF"/>
        <w:spacing w:after="225" w:line="390" w:lineRule="atLeast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(1)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Perioada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livrare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va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fi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convenită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individual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specificată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acceptarea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comenzii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caz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contrar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perioada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livrare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este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aproximativ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cinci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săptămâni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la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încheierea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contractului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.</w:t>
      </w:r>
    </w:p>
    <w:p w14:paraId="33585D85" w14:textId="77777777" w:rsidR="008B2CDE" w:rsidRPr="002700D5" w:rsidRDefault="008B2CDE" w:rsidP="001D4E81">
      <w:pPr>
        <w:shd w:val="clear" w:color="auto" w:fill="FFFFFF"/>
        <w:spacing w:after="225" w:line="390" w:lineRule="atLeast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(2)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Dacă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nu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putem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respecta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termenele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livrare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obligatorii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din motive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care nu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suntem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responsabili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indisponibilitatea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serviciului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),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vom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informa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imediat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cumpărătorul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despre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acest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lucru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același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timp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vom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informa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noua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perioadă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livrare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preconizată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Dacă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serviciul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nu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este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disponibil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noua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perioadă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livrare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avem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dreptul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ne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retragem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din contract integral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parțial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; Orice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contraprestație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deja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furnizată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cumpărător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va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fi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rambursată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imediat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special,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cazul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indisponibilității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serviciului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acest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sens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va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fi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considerat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 fi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eșecul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furnizorului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nostru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a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furniza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bunurile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timp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dacă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am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încheiat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o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tranzacție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acoperire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congruentă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dacă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nici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nici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furnizorii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noștri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nu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suntem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vinovați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dacă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nu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suntem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obligați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achiziționăm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cazuri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individuale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.</w:t>
      </w:r>
    </w:p>
    <w:p w14:paraId="77801663" w14:textId="7D6F6783" w:rsidR="004406B4" w:rsidRDefault="004406B4" w:rsidP="001D4E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4406B4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(3) </w:t>
      </w:r>
      <w:proofErr w:type="spellStart"/>
      <w:r w:rsidRPr="004406B4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Apariția</w:t>
      </w:r>
      <w:proofErr w:type="spellEnd"/>
      <w:r w:rsidRPr="004406B4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406B4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întârzierii</w:t>
      </w:r>
      <w:proofErr w:type="spellEnd"/>
      <w:r w:rsidRPr="004406B4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406B4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noastre</w:t>
      </w:r>
      <w:proofErr w:type="spellEnd"/>
      <w:r w:rsidRPr="004406B4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4406B4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livrare</w:t>
      </w:r>
      <w:proofErr w:type="spellEnd"/>
      <w:r w:rsidRPr="004406B4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se </w:t>
      </w:r>
      <w:proofErr w:type="spellStart"/>
      <w:r w:rsidRPr="004406B4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stabilește</w:t>
      </w:r>
      <w:proofErr w:type="spellEnd"/>
      <w:r w:rsidRPr="004406B4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406B4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4406B4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406B4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conformitate</w:t>
      </w:r>
      <w:proofErr w:type="spellEnd"/>
      <w:r w:rsidRPr="004406B4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cu </w:t>
      </w:r>
      <w:proofErr w:type="spellStart"/>
      <w:r w:rsidRPr="004406B4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dispozițiile</w:t>
      </w:r>
      <w:proofErr w:type="spellEnd"/>
      <w:r w:rsidRPr="004406B4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406B4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legale</w:t>
      </w:r>
      <w:proofErr w:type="spellEnd"/>
      <w:r w:rsidRPr="004406B4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4406B4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4406B4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406B4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orice</w:t>
      </w:r>
      <w:proofErr w:type="spellEnd"/>
      <w:r w:rsidRPr="004406B4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406B4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caz</w:t>
      </w:r>
      <w:proofErr w:type="spellEnd"/>
      <w:r w:rsidRPr="004406B4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4406B4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însă</w:t>
      </w:r>
      <w:proofErr w:type="spellEnd"/>
      <w:r w:rsidRPr="004406B4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4406B4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este</w:t>
      </w:r>
      <w:proofErr w:type="spellEnd"/>
      <w:r w:rsidRPr="004406B4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406B4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necesară</w:t>
      </w:r>
      <w:proofErr w:type="spellEnd"/>
      <w:r w:rsidRPr="004406B4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o </w:t>
      </w:r>
      <w:proofErr w:type="spellStart"/>
      <w:r w:rsidRPr="004406B4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atenționare</w:t>
      </w:r>
      <w:proofErr w:type="spellEnd"/>
      <w:r w:rsidRPr="004406B4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din </w:t>
      </w:r>
      <w:proofErr w:type="spellStart"/>
      <w:r w:rsidRPr="004406B4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partea</w:t>
      </w:r>
      <w:proofErr w:type="spellEnd"/>
      <w:r w:rsidRPr="004406B4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4406B4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cumpărătorului</w:t>
      </w:r>
      <w:proofErr w:type="spellEnd"/>
      <w:r w:rsidRPr="004406B4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.</w:t>
      </w:r>
    </w:p>
    <w:p w14:paraId="7FD9D74F" w14:textId="77777777" w:rsidR="001A0FF3" w:rsidRPr="002700D5" w:rsidRDefault="001A0FF3" w:rsidP="001D4E8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 xml:space="preserve">4 </w:t>
      </w:r>
      <w:proofErr w:type="spellStart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>Livrarea</w:t>
      </w:r>
      <w:proofErr w:type="spellEnd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 xml:space="preserve">, </w:t>
      </w:r>
      <w:proofErr w:type="spellStart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>transferul</w:t>
      </w:r>
      <w:proofErr w:type="spellEnd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>riscului</w:t>
      </w:r>
      <w:proofErr w:type="spellEnd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 xml:space="preserve">, </w:t>
      </w:r>
      <w:proofErr w:type="spellStart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>acceptarea</w:t>
      </w:r>
      <w:proofErr w:type="spellEnd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 xml:space="preserve">, </w:t>
      </w:r>
      <w:proofErr w:type="spellStart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>neacceptarea</w:t>
      </w:r>
      <w:proofErr w:type="spellEnd"/>
    </w:p>
    <w:p w14:paraId="37EF3A07" w14:textId="77777777" w:rsidR="00BE30F9" w:rsidRPr="002700D5" w:rsidRDefault="00BE30F9" w:rsidP="001D4E81">
      <w:pPr>
        <w:shd w:val="clear" w:color="auto" w:fill="FFFFFF"/>
        <w:spacing w:after="225" w:line="390" w:lineRule="atLeast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(1)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Livrarea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se face din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depozitul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nostru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respectiv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unde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este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locul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executare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livrare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orice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executare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ulterioară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. La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cererea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cheltuiala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cumpărătorului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bunurile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vor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fi expediate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către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o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altă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destinație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cumpărare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prin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corespondență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). Cu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excepția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cazului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care se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convine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altfel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avem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dreptul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determinăm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înșine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tipul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transport (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special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compania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transport,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ruta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expediere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ambalajul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).</w:t>
      </w:r>
    </w:p>
    <w:p w14:paraId="72C93783" w14:textId="77777777" w:rsidR="00980051" w:rsidRPr="002700D5" w:rsidRDefault="00980051" w:rsidP="001D4E81">
      <w:pPr>
        <w:shd w:val="clear" w:color="auto" w:fill="FFFFFF"/>
        <w:spacing w:after="225" w:line="390" w:lineRule="atLeast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(2)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cazul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care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cumpărătorul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este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întârziere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acceptare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dacă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nu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cooperează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dacă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livrarea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noastră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este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întârziată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din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alte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motive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care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cumpărătorul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este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responsabil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avem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dreptul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solicităm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despăgubiri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daunele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rezultate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inclusiv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cheltuieli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suplimentare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(de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exemplu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costuri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depozitare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).</w:t>
      </w:r>
    </w:p>
    <w:p w14:paraId="0C1625B5" w14:textId="77777777" w:rsidR="0004216A" w:rsidRPr="002700D5" w:rsidRDefault="0004216A" w:rsidP="001D4E8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lastRenderedPageBreak/>
        <w:t xml:space="preserve">5 </w:t>
      </w:r>
      <w:proofErr w:type="spellStart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>Prețuri</w:t>
      </w:r>
      <w:proofErr w:type="spellEnd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>și</w:t>
      </w:r>
      <w:proofErr w:type="spellEnd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>condiții</w:t>
      </w:r>
      <w:proofErr w:type="spellEnd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 xml:space="preserve"> de </w:t>
      </w:r>
      <w:proofErr w:type="spellStart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>plată</w:t>
      </w:r>
      <w:proofErr w:type="spellEnd"/>
    </w:p>
    <w:p w14:paraId="7C9751BE" w14:textId="77777777" w:rsidR="00E32C06" w:rsidRPr="002700D5" w:rsidRDefault="00E32C06" w:rsidP="001D4E81">
      <w:pPr>
        <w:shd w:val="clear" w:color="auto" w:fill="FFFFFF"/>
        <w:spacing w:after="225" w:line="390" w:lineRule="atLeast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(1) Cu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excepția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cazului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care se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convine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altfel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cazul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individual, se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aplică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prețurile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noastre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curente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momentul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încheierii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contractului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din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depozitul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respectiv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plus taxa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legală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pe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valoarea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adăugată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.</w:t>
      </w:r>
    </w:p>
    <w:p w14:paraId="64861EE6" w14:textId="0329BBA7" w:rsidR="0021485A" w:rsidRPr="002700D5" w:rsidRDefault="0021485A" w:rsidP="001D4E81">
      <w:pPr>
        <w:shd w:val="clear" w:color="auto" w:fill="FFFFFF"/>
        <w:spacing w:after="225" w:line="390" w:lineRule="atLeast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(2)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cazul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achiziționării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unui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lot</w:t>
      </w:r>
      <w:r w:rsidR="0023178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cumpărătorul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suportă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costurile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transport din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depozitul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respectiv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costurile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oricărei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asigurări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transport pe care o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poate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solicita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cu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excepția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cazului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care s-a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convenit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altfel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. Orice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taxe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vamale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taxe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impozite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alte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taxe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publice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sunt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suportate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cumpărător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.</w:t>
      </w:r>
    </w:p>
    <w:p w14:paraId="693F21A5" w14:textId="77777777" w:rsidR="009A409C" w:rsidRPr="002700D5" w:rsidRDefault="009A409C" w:rsidP="001D4E81">
      <w:pPr>
        <w:shd w:val="clear" w:color="auto" w:fill="FFFFFF"/>
        <w:spacing w:after="225" w:line="390" w:lineRule="atLeast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(3)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Prețul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cumpărare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este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scadent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plătibil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termen de 14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zile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fără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deducerea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la data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facturării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livrării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acceptării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mărfii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. Cu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toate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acestea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avem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dreptul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orice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moment,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chiar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contextul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unei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relații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afaceri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curs de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desfășurare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efectuăm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o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livrare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integrală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parțială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numai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schimbul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unei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plăți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avans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Declarăm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o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rezervare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corespunzătoare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cel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târziu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odată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cu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confirmarea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comenzii</w:t>
      </w:r>
      <w:proofErr w:type="spellEnd"/>
      <w:r w:rsidRPr="002700D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.</w:t>
      </w:r>
    </w:p>
    <w:p w14:paraId="6ECA8A0B" w14:textId="1377E6B9" w:rsidR="00AF1B13" w:rsidRDefault="00AF1B13" w:rsidP="001D4E81">
      <w:pPr>
        <w:shd w:val="clear" w:color="auto" w:fill="FFFFFF"/>
        <w:spacing w:after="225" w:line="390" w:lineRule="atLeast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(4) La </w:t>
      </w:r>
      <w:proofErr w:type="spellStart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expirarea</w:t>
      </w:r>
      <w:proofErr w:type="spellEnd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termenului</w:t>
      </w:r>
      <w:proofErr w:type="spellEnd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plată</w:t>
      </w:r>
      <w:proofErr w:type="spellEnd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menționat</w:t>
      </w:r>
      <w:proofErr w:type="spellEnd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mai</w:t>
      </w:r>
      <w:proofErr w:type="spellEnd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sus, </w:t>
      </w:r>
      <w:proofErr w:type="spellStart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cumpărătorul</w:t>
      </w:r>
      <w:proofErr w:type="spellEnd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este</w:t>
      </w:r>
      <w:proofErr w:type="spellEnd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întârziere</w:t>
      </w:r>
      <w:proofErr w:type="spellEnd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. Pe </w:t>
      </w:r>
      <w:proofErr w:type="spellStart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durata</w:t>
      </w:r>
      <w:proofErr w:type="spellEnd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perioadei</w:t>
      </w:r>
      <w:proofErr w:type="spellEnd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întârziere</w:t>
      </w:r>
      <w:proofErr w:type="spellEnd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prețul</w:t>
      </w:r>
      <w:proofErr w:type="spellEnd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achiziție</w:t>
      </w:r>
      <w:proofErr w:type="spellEnd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este</w:t>
      </w:r>
      <w:proofErr w:type="spellEnd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purtător</w:t>
      </w:r>
      <w:proofErr w:type="spellEnd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dobândă</w:t>
      </w:r>
      <w:proofErr w:type="spellEnd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la rata </w:t>
      </w:r>
      <w:proofErr w:type="spellStart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legală</w:t>
      </w:r>
      <w:proofErr w:type="spellEnd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aplicabilă</w:t>
      </w:r>
      <w:proofErr w:type="spellEnd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dobânzii</w:t>
      </w:r>
      <w:proofErr w:type="spellEnd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proofErr w:type="gramStart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întârziere</w:t>
      </w:r>
      <w:r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.</w:t>
      </w:r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Ne</w:t>
      </w:r>
      <w:proofErr w:type="spellEnd"/>
      <w:proofErr w:type="gramEnd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rezervăm</w:t>
      </w:r>
      <w:proofErr w:type="spellEnd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dreptul</w:t>
      </w:r>
      <w:proofErr w:type="spellEnd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a </w:t>
      </w:r>
      <w:proofErr w:type="spellStart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pretinde</w:t>
      </w:r>
      <w:proofErr w:type="spellEnd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daune</w:t>
      </w:r>
      <w:proofErr w:type="spellEnd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suplimentare</w:t>
      </w:r>
      <w:proofErr w:type="spellEnd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cauzate</w:t>
      </w:r>
      <w:proofErr w:type="spellEnd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întârziere</w:t>
      </w:r>
      <w:proofErr w:type="spellEnd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ceea</w:t>
      </w:r>
      <w:proofErr w:type="spellEnd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ce</w:t>
      </w:r>
      <w:proofErr w:type="spellEnd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privește</w:t>
      </w:r>
      <w:proofErr w:type="spellEnd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comercianții</w:t>
      </w:r>
      <w:proofErr w:type="spellEnd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dreptul</w:t>
      </w:r>
      <w:proofErr w:type="spellEnd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nostru</w:t>
      </w:r>
      <w:proofErr w:type="spellEnd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dobânda</w:t>
      </w:r>
      <w:proofErr w:type="spellEnd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scadență</w:t>
      </w:r>
      <w:proofErr w:type="spellEnd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comercială</w:t>
      </w:r>
      <w:proofErr w:type="spellEnd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rămâne</w:t>
      </w:r>
      <w:proofErr w:type="spellEnd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neafectat</w:t>
      </w:r>
      <w:proofErr w:type="spellEnd"/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.</w:t>
      </w:r>
      <w:r w:rsidRPr="00AF1B1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</w:p>
    <w:p w14:paraId="53A8B7E3" w14:textId="77777777" w:rsidR="00B75FE6" w:rsidRDefault="00B75FE6" w:rsidP="001D4E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B75FE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(5) </w:t>
      </w:r>
      <w:proofErr w:type="spellStart"/>
      <w:r w:rsidRPr="00B75FE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Cumpărătorul</w:t>
      </w:r>
      <w:proofErr w:type="spellEnd"/>
      <w:r w:rsidRPr="00B75FE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B75FE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este</w:t>
      </w:r>
      <w:proofErr w:type="spellEnd"/>
      <w:r w:rsidRPr="00B75FE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B75FE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îndreptățit</w:t>
      </w:r>
      <w:proofErr w:type="spellEnd"/>
      <w:r w:rsidRPr="00B75FE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B75FE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drepturi</w:t>
      </w:r>
      <w:proofErr w:type="spellEnd"/>
      <w:r w:rsidRPr="00B75FE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B75FE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compensare</w:t>
      </w:r>
      <w:proofErr w:type="spellEnd"/>
      <w:r w:rsidRPr="00B75FE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B75FE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B75FE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B75FE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reținere</w:t>
      </w:r>
      <w:proofErr w:type="spellEnd"/>
      <w:r w:rsidRPr="00B75FE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B75FE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numai</w:t>
      </w:r>
      <w:proofErr w:type="spellEnd"/>
      <w:r w:rsidRPr="00B75FE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B75FE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B75FE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B75FE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măsura</w:t>
      </w:r>
      <w:proofErr w:type="spellEnd"/>
      <w:r w:rsidRPr="00B75FE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B75FE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B75FE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care </w:t>
      </w:r>
      <w:proofErr w:type="spellStart"/>
      <w:r w:rsidRPr="00B75FE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creanța</w:t>
      </w:r>
      <w:proofErr w:type="spellEnd"/>
      <w:r w:rsidRPr="00B75FE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B75FE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</w:t>
      </w:r>
      <w:proofErr w:type="spellEnd"/>
      <w:r w:rsidRPr="00B75FE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B75FE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fost</w:t>
      </w:r>
      <w:proofErr w:type="spellEnd"/>
      <w:r w:rsidRPr="00B75FE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B75FE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stabilită</w:t>
      </w:r>
      <w:proofErr w:type="spellEnd"/>
      <w:r w:rsidRPr="00B75FE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B75FE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B75FE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mod legal </w:t>
      </w:r>
      <w:proofErr w:type="spellStart"/>
      <w:r w:rsidRPr="00B75FE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B75FE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B75FE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este</w:t>
      </w:r>
      <w:proofErr w:type="spellEnd"/>
      <w:r w:rsidRPr="00B75FE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B75FE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necontestată</w:t>
      </w:r>
      <w:proofErr w:type="spellEnd"/>
      <w:r w:rsidRPr="00B75FE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.</w:t>
      </w:r>
    </w:p>
    <w:p w14:paraId="6B84BEBC" w14:textId="65F719E1" w:rsidR="002700D5" w:rsidRPr="002700D5" w:rsidRDefault="002700D5" w:rsidP="001D4E8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>6 Retention of Title</w:t>
      </w:r>
    </w:p>
    <w:p w14:paraId="4CF9DB5C" w14:textId="77777777" w:rsidR="008352B6" w:rsidRDefault="008352B6" w:rsidP="001D4E81">
      <w:pPr>
        <w:shd w:val="clear" w:color="auto" w:fill="FFFFFF"/>
        <w:spacing w:after="225" w:line="390" w:lineRule="atLeast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(1) </w:t>
      </w:r>
      <w:proofErr w:type="spellStart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Până</w:t>
      </w:r>
      <w:proofErr w:type="spellEnd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plata</w:t>
      </w:r>
      <w:proofErr w:type="spellEnd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integrală</w:t>
      </w:r>
      <w:proofErr w:type="spellEnd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tuturor</w:t>
      </w:r>
      <w:proofErr w:type="spellEnd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creanțelor</w:t>
      </w:r>
      <w:proofErr w:type="spellEnd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noastre</w:t>
      </w:r>
      <w:proofErr w:type="spellEnd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actuale</w:t>
      </w:r>
      <w:proofErr w:type="spellEnd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viitoare</w:t>
      </w:r>
      <w:proofErr w:type="spellEnd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temeiul</w:t>
      </w:r>
      <w:proofErr w:type="spellEnd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contractului</w:t>
      </w:r>
      <w:proofErr w:type="spellEnd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achiziție</w:t>
      </w:r>
      <w:proofErr w:type="spellEnd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unei</w:t>
      </w:r>
      <w:proofErr w:type="spellEnd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relații</w:t>
      </w:r>
      <w:proofErr w:type="spellEnd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comerciale</w:t>
      </w:r>
      <w:proofErr w:type="spellEnd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curs de </w:t>
      </w:r>
      <w:proofErr w:type="spellStart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desfășurare</w:t>
      </w:r>
      <w:proofErr w:type="spellEnd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creanțe</w:t>
      </w:r>
      <w:proofErr w:type="spellEnd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garantate</w:t>
      </w:r>
      <w:proofErr w:type="spellEnd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), ne </w:t>
      </w:r>
      <w:proofErr w:type="spellStart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rezervăm</w:t>
      </w:r>
      <w:proofErr w:type="spellEnd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dreptul</w:t>
      </w:r>
      <w:proofErr w:type="spellEnd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proprietate</w:t>
      </w:r>
      <w:proofErr w:type="spellEnd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asupra</w:t>
      </w:r>
      <w:proofErr w:type="spellEnd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bunurilor</w:t>
      </w:r>
      <w:proofErr w:type="spellEnd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vândute</w:t>
      </w:r>
      <w:proofErr w:type="spellEnd"/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.</w:t>
      </w:r>
      <w:r w:rsidRPr="008352B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</w:p>
    <w:p w14:paraId="406280F6" w14:textId="77777777" w:rsidR="006D7676" w:rsidRDefault="006D7676" w:rsidP="001D4E81">
      <w:pPr>
        <w:shd w:val="clear" w:color="auto" w:fill="FFFFFF"/>
        <w:spacing w:after="225" w:line="390" w:lineRule="atLeast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(2) </w:t>
      </w:r>
      <w:proofErr w:type="spellStart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Mărfurile</w:t>
      </w:r>
      <w:proofErr w:type="spellEnd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care </w:t>
      </w:r>
      <w:proofErr w:type="spellStart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fac</w:t>
      </w:r>
      <w:proofErr w:type="spellEnd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obiectul</w:t>
      </w:r>
      <w:proofErr w:type="spellEnd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unei</w:t>
      </w:r>
      <w:proofErr w:type="spellEnd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rezerve</w:t>
      </w:r>
      <w:proofErr w:type="spellEnd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proprietate</w:t>
      </w:r>
      <w:proofErr w:type="spellEnd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nu pot fi date </w:t>
      </w:r>
      <w:proofErr w:type="spellStart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gaj</w:t>
      </w:r>
      <w:proofErr w:type="spellEnd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transferate</w:t>
      </w:r>
      <w:proofErr w:type="spellEnd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ca </w:t>
      </w:r>
      <w:proofErr w:type="spellStart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garanție</w:t>
      </w:r>
      <w:proofErr w:type="spellEnd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unor</w:t>
      </w:r>
      <w:proofErr w:type="spellEnd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terți</w:t>
      </w:r>
      <w:proofErr w:type="spellEnd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până</w:t>
      </w:r>
      <w:proofErr w:type="spellEnd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când</w:t>
      </w:r>
      <w:proofErr w:type="spellEnd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creanțele</w:t>
      </w:r>
      <w:proofErr w:type="spellEnd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garantate</w:t>
      </w:r>
      <w:proofErr w:type="spellEnd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nu au </w:t>
      </w:r>
      <w:proofErr w:type="spellStart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fost</w:t>
      </w:r>
      <w:proofErr w:type="spellEnd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plătite</w:t>
      </w:r>
      <w:proofErr w:type="spellEnd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integral. </w:t>
      </w:r>
      <w:proofErr w:type="spellStart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Cumpărătorul</w:t>
      </w:r>
      <w:proofErr w:type="spellEnd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trebuie</w:t>
      </w:r>
      <w:proofErr w:type="spellEnd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ne </w:t>
      </w:r>
      <w:proofErr w:type="spellStart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notifice</w:t>
      </w:r>
      <w:proofErr w:type="spellEnd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imediat</w:t>
      </w:r>
      <w:proofErr w:type="spellEnd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scris</w:t>
      </w:r>
      <w:proofErr w:type="spellEnd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dacă</w:t>
      </w:r>
      <w:proofErr w:type="spellEnd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fost</w:t>
      </w:r>
      <w:proofErr w:type="spellEnd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depusă</w:t>
      </w:r>
      <w:proofErr w:type="spellEnd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o </w:t>
      </w:r>
      <w:proofErr w:type="spellStart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cerere</w:t>
      </w:r>
      <w:proofErr w:type="spellEnd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deschidere</w:t>
      </w:r>
      <w:proofErr w:type="spellEnd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procedurii</w:t>
      </w:r>
      <w:proofErr w:type="spellEnd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insolvență</w:t>
      </w:r>
      <w:proofErr w:type="spellEnd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dacă</w:t>
      </w:r>
      <w:proofErr w:type="spellEnd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terți</w:t>
      </w:r>
      <w:proofErr w:type="spellEnd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au </w:t>
      </w:r>
      <w:proofErr w:type="spellStart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acces</w:t>
      </w:r>
      <w:proofErr w:type="spellEnd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bunurile</w:t>
      </w:r>
      <w:proofErr w:type="spellEnd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care ne </w:t>
      </w:r>
      <w:proofErr w:type="spellStart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aparțin</w:t>
      </w:r>
      <w:proofErr w:type="spellEnd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(de </w:t>
      </w:r>
      <w:proofErr w:type="spellStart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exemplu</w:t>
      </w:r>
      <w:proofErr w:type="spellEnd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sechestre</w:t>
      </w:r>
      <w:proofErr w:type="spellEnd"/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).</w:t>
      </w:r>
      <w:r w:rsidRPr="006D767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</w:p>
    <w:p w14:paraId="40340E97" w14:textId="2430C776" w:rsidR="002700D5" w:rsidRPr="002700D5" w:rsidRDefault="00CC0725" w:rsidP="001D4E81">
      <w:pPr>
        <w:shd w:val="clear" w:color="auto" w:fill="FFFFFF"/>
        <w:spacing w:after="225" w:line="390" w:lineRule="atLeast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(3)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cazul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unei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încălcări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contractului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din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partea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cumpărătorului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special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cazul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neplății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prețului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achiziție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datorat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avem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dreptul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a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ne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retrage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din contract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lastRenderedPageBreak/>
        <w:t>conformitate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cu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dispozițiile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legale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/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a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solicita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returnarea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bunurilor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pe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baza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rezervei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proprietate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Cererea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restituire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nu include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același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timp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declarația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retragere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;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mai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degrabă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suntem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îndreptățiți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cerem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doar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returnarea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bunurilor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ne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rezervăm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dreptul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a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ne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retrage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din contract.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cazul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care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cumpărătorul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nu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plătește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prețul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achiziție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datorat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ne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putem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exercita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aceste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drepturi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numai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dacă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am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stabilit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anterior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cumpărătorului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un termen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rezonabil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plată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fără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succes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dacă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un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astfel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termen nu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este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necesar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conformitate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cu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dispozițiile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legale</w:t>
      </w:r>
      <w:proofErr w:type="spellEnd"/>
      <w:r w:rsidRPr="00CC0725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.</w:t>
      </w:r>
    </w:p>
    <w:p w14:paraId="072FEDCB" w14:textId="77777777" w:rsidR="00726C1F" w:rsidRPr="00726C1F" w:rsidRDefault="00726C1F" w:rsidP="001D4E81">
      <w:pPr>
        <w:shd w:val="clear" w:color="auto" w:fill="FFFFFF"/>
        <w:spacing w:after="225" w:line="390" w:lineRule="atLeast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(4)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Cumpărătorul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are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dreptul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până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la o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notificare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ulterioară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conformitate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cu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litera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(c) de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mai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jos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revândă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/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prelucreze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bunurile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sub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rezerva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proprietății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cursul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normal al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activității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comerciale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acest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caz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se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aplică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plus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următoarele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dispoziții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.</w:t>
      </w:r>
    </w:p>
    <w:p w14:paraId="1E06BD74" w14:textId="77777777" w:rsidR="00726C1F" w:rsidRDefault="00726C1F" w:rsidP="001D4E81">
      <w:pPr>
        <w:shd w:val="clear" w:color="auto" w:fill="FFFFFF"/>
        <w:spacing w:after="225" w:line="390" w:lineRule="atLeast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(a)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Rezerva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proprietate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se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extinde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produsele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rezultate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din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prelucrarea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amestecarea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combinarea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bunurilor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noastre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valoarea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lor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integrală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caz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care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suntem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considerați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producător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cazul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care,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cazul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prelucrării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amestecării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combinării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cu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bunuri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ale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unor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terți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dreptul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proprietate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al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acestora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rămâne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noi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dobândim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coproprietatea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proporțional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cu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valorile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facturare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bunurilor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prelucrate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amestecate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combinate.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toate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celelalte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privințe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produsul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rezultat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se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aplică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același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lucru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ca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mărfurile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livrate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sub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rezerva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proprietate</w:t>
      </w:r>
      <w:proofErr w:type="spellEnd"/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.</w:t>
      </w:r>
      <w:r w:rsidRPr="00726C1F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</w:p>
    <w:p w14:paraId="557CA4EC" w14:textId="77777777" w:rsidR="00664EFD" w:rsidRPr="00664EFD" w:rsidRDefault="00664EFD" w:rsidP="001D4E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(b)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Creanțele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față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terți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care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decurg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din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revânzarea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bunurilor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produselor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ne sunt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cesionate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către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cumpărător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ca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garanție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totalitate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măsura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cotei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noastre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posibile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coproprietate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conformitate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cu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alineatul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precedent.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Acceptăm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cesiunea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Obligațiile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cumpărătorului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menționate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alineatul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(2) se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aplică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de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asemenea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ceea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privește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creanțele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cesionate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.</w:t>
      </w:r>
    </w:p>
    <w:p w14:paraId="29CFD5D7" w14:textId="77777777" w:rsidR="00664EFD" w:rsidRPr="00664EFD" w:rsidRDefault="00664EFD" w:rsidP="001D4E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(c)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Cumpărătorul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rămâne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autorizat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încaseze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creanța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alături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noi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. Ne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angajăm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nu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colectăm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creanța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atâta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timp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cât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cumpărătorul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își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îndeplinește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obligațiile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plată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față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noi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nu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există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niciun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viciu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ceea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privește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capacitatea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plată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nu ne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afirmăm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reținerea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dreptului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proprietate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prin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exercitarea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unui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drept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conformitate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cu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alineatul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(3). Cu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toate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acestea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acest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caz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putem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solicita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cumpărătorului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ne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informeze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cu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privire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creanțele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cesionate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debitorii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acestora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ne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furnizeze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toate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informațiile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necesare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colectare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ne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predea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documentele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relevante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notifice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debitorii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terții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) cu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privire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cesiune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plus,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acest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caz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suntem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îndreptățiți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revocăm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dreptul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cumpărătorului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a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vinde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continuare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a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prelucra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bunurile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sub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rezerva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proprietății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.</w:t>
      </w:r>
    </w:p>
    <w:p w14:paraId="2CE59C5A" w14:textId="6DEB0A37" w:rsidR="00664EFD" w:rsidRDefault="00664EFD" w:rsidP="001D4E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(d)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cazul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care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valoarea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realizabilă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garanției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depășește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creanțele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noastre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cu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mai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mult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10 %,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vom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elibera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garanția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la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cererea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cumpărătorului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la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alegerea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noastră</w:t>
      </w:r>
      <w:proofErr w:type="spellEnd"/>
      <w:r w:rsidRPr="00664EFD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.</w:t>
      </w:r>
    </w:p>
    <w:p w14:paraId="56412AF9" w14:textId="77777777" w:rsidR="007304F4" w:rsidRDefault="007304F4" w:rsidP="001D4E8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</w:pPr>
    </w:p>
    <w:p w14:paraId="1912B8C9" w14:textId="77777777" w:rsidR="007304F4" w:rsidRDefault="007304F4" w:rsidP="001D4E8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</w:pPr>
    </w:p>
    <w:p w14:paraId="6FFEE7DD" w14:textId="1D1A67F4" w:rsidR="00E8754A" w:rsidRPr="002700D5" w:rsidRDefault="00E8754A" w:rsidP="001D4E8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lastRenderedPageBreak/>
        <w:t xml:space="preserve">7 </w:t>
      </w:r>
      <w:proofErr w:type="spellStart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>Reclamațiile</w:t>
      </w:r>
      <w:proofErr w:type="spellEnd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>cumpărătorului</w:t>
      </w:r>
      <w:proofErr w:type="spellEnd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>pentru</w:t>
      </w:r>
      <w:proofErr w:type="spellEnd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>defecte</w:t>
      </w:r>
      <w:proofErr w:type="spellEnd"/>
    </w:p>
    <w:p w14:paraId="4A725DE6" w14:textId="77777777" w:rsidR="00747FD0" w:rsidRPr="00747FD0" w:rsidRDefault="00747FD0" w:rsidP="001D4E81">
      <w:pPr>
        <w:shd w:val="clear" w:color="auto" w:fill="FFFFFF"/>
        <w:spacing w:after="225" w:line="390" w:lineRule="atLeast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(1)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Drepturile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cumpărătorului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caz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defecte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materiale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vicii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proprietate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inclusiv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livrare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incorectă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livrare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incompletă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) sunt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reglementate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dispozițiile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legale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cu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excepția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cazului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care se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prevede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altfel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mai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jos.</w:t>
      </w:r>
      <w:proofErr w:type="spellEnd"/>
    </w:p>
    <w:p w14:paraId="1E11C28F" w14:textId="77777777" w:rsidR="00747FD0" w:rsidRDefault="00747FD0" w:rsidP="001D4E81">
      <w:pPr>
        <w:shd w:val="clear" w:color="auto" w:fill="FFFFFF"/>
        <w:spacing w:after="225" w:line="390" w:lineRule="atLeast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(2) Baza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răspunderii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noastre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defecte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este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primul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rând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acordul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încheiat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cu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privire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calitatea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bunurilor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. Un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acord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privind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calitatea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bunurilor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include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toate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descrierile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produselor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care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fac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obiectul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contractului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individual; nu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contează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dacă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descrierea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produsului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provine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la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cumpărător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de la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producător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la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noi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contextul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unui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produs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personalizat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convenit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cererea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clientului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o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abatere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cantitativă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+10% nu </w:t>
      </w:r>
      <w:proofErr w:type="spellStart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constituie</w:t>
      </w:r>
      <w:proofErr w:type="spellEnd"/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un defect material.</w:t>
      </w:r>
      <w:r w:rsidRPr="00747FD0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</w:p>
    <w:p w14:paraId="03171825" w14:textId="77777777" w:rsidR="00272C0C" w:rsidRPr="00272C0C" w:rsidRDefault="00272C0C" w:rsidP="001D4E81">
      <w:pPr>
        <w:shd w:val="clear" w:color="auto" w:fill="FFFFFF"/>
        <w:spacing w:after="225" w:line="390" w:lineRule="atLeast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(3) Nu ne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asumăm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nicio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răspundere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declarațiile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publice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ale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producătorului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ale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altor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părți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terțe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(de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exemplu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declarații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publicitare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).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Același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lucru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este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valabil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cazul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care un defect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apare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ca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urmare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unei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utilizări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neadecvate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necorespunzătoare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a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unei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asamblări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unei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puneri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funcțiune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incorecte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către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cumpărător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ca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urmare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unei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modificări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bunurilor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efectuate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fără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acordul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vânzătorului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.</w:t>
      </w:r>
    </w:p>
    <w:p w14:paraId="33AE5540" w14:textId="7856A4E3" w:rsidR="00272C0C" w:rsidRDefault="00272C0C" w:rsidP="001D4E81">
      <w:pPr>
        <w:shd w:val="clear" w:color="auto" w:fill="FFFFFF"/>
        <w:spacing w:after="225" w:line="390" w:lineRule="atLeast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(4)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Revendicările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cumpărătorului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defecte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presupun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că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acesta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-a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respectat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obligațiile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legale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investigare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notificare</w:t>
      </w:r>
      <w:proofErr w:type="spellEnd"/>
      <w:r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cazul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care se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descoperă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un defect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timpul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examinării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ulterior,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trebuie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ne fie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notificat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imediat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scris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acest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lucru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Notificarea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este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considerată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imediată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dacă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este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făcută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termen de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două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săptămâni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expedierea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timp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notificării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fiind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suficientă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respectarea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termenului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Indiferent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această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obligație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examinare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notificare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cumpărătorul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trebuie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să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notifice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scris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defectele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evidente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termen de o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săptămână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la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livrare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expedierea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timp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notificării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fiind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suficientă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respecta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termenul</w:t>
      </w:r>
      <w:proofErr w:type="spellEnd"/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.</w:t>
      </w:r>
      <w:r w:rsidRPr="00272C0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</w:p>
    <w:p w14:paraId="5E59F8E4" w14:textId="4C0EFDD7" w:rsidR="00973769" w:rsidRPr="00973769" w:rsidRDefault="00973769" w:rsidP="001D4E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(5) </w:t>
      </w:r>
      <w:proofErr w:type="spellStart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cazul</w:t>
      </w:r>
      <w:proofErr w:type="spellEnd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care </w:t>
      </w:r>
      <w:proofErr w:type="spellStart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cererea</w:t>
      </w:r>
      <w:proofErr w:type="spellEnd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remediere</w:t>
      </w:r>
      <w:proofErr w:type="spellEnd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defectului</w:t>
      </w:r>
      <w:proofErr w:type="spellEnd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este</w:t>
      </w:r>
      <w:proofErr w:type="spellEnd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nejustificată</w:t>
      </w:r>
      <w:proofErr w:type="spellEnd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avem</w:t>
      </w:r>
      <w:proofErr w:type="spellEnd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dreptul</w:t>
      </w:r>
      <w:proofErr w:type="spellEnd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rambursarea</w:t>
      </w:r>
      <w:proofErr w:type="spellEnd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costurilor</w:t>
      </w:r>
      <w:proofErr w:type="spellEnd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suportate</w:t>
      </w:r>
      <w:proofErr w:type="spellEnd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special a </w:t>
      </w:r>
      <w:proofErr w:type="spellStart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costurilor</w:t>
      </w:r>
      <w:proofErr w:type="spellEnd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inspecție</w:t>
      </w:r>
      <w:proofErr w:type="spellEnd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transport), cu </w:t>
      </w:r>
      <w:proofErr w:type="spellStart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excepția</w:t>
      </w:r>
      <w:proofErr w:type="spellEnd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cazului</w:t>
      </w:r>
      <w:proofErr w:type="spellEnd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care </w:t>
      </w:r>
      <w:proofErr w:type="spellStart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lipsa</w:t>
      </w:r>
      <w:proofErr w:type="spellEnd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defectelor</w:t>
      </w:r>
      <w:proofErr w:type="spellEnd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nu a </w:t>
      </w:r>
      <w:proofErr w:type="spellStart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fost</w:t>
      </w:r>
      <w:proofErr w:type="spellEnd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recunoscută</w:t>
      </w:r>
      <w:proofErr w:type="spellEnd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cumpărător</w:t>
      </w:r>
      <w:proofErr w:type="spellEnd"/>
      <w:r w:rsidRPr="00973769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.</w:t>
      </w:r>
    </w:p>
    <w:p w14:paraId="07CB3029" w14:textId="77777777" w:rsidR="00973769" w:rsidRPr="002700D5" w:rsidRDefault="00973769" w:rsidP="001D4E8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 xml:space="preserve">8 Alte </w:t>
      </w:r>
      <w:proofErr w:type="spellStart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>răspunderi</w:t>
      </w:r>
      <w:proofErr w:type="spellEnd"/>
    </w:p>
    <w:p w14:paraId="20FC3C9E" w14:textId="5ADC24E3" w:rsidR="00526492" w:rsidRPr="00526492" w:rsidRDefault="00526492" w:rsidP="001D4E81">
      <w:pPr>
        <w:shd w:val="clear" w:color="auto" w:fill="FFFFFF"/>
        <w:spacing w:after="225" w:line="390" w:lineRule="atLeast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(1) Cu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excepția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cazului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care se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prevede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altfel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prezentele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TCG</w:t>
      </w:r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inclusiv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următoarele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dispoziții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suntem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răspunzători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cazul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încălcării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obligațiilor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contractuale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necontractuale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conformitate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cu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dispozițiile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legale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.</w:t>
      </w:r>
    </w:p>
    <w:p w14:paraId="7E39C726" w14:textId="07AE4A53" w:rsidR="00526492" w:rsidRPr="002700D5" w:rsidRDefault="00526492" w:rsidP="001D4E81">
      <w:pPr>
        <w:shd w:val="clear" w:color="auto" w:fill="FFFFFF"/>
        <w:spacing w:after="225" w:line="390" w:lineRule="atLeast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lastRenderedPageBreak/>
        <w:t xml:space="preserve">(2)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Răspundem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daune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-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indiferent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temeiul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juridic -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cadrul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răspunderii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din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culpă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caz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intenție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neglijență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gravă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caz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neglijență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simplă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sub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rezerva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unui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standard de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răspundere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mai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blând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conformitate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cu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dispozițiile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legale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(de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exemplu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grija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față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propriile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afaceri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),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suntem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răspunzători</w:t>
      </w:r>
      <w:proofErr w:type="spellEnd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26492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doar</w:t>
      </w:r>
      <w:proofErr w:type="spellEnd"/>
    </w:p>
    <w:p w14:paraId="64BE0A04" w14:textId="77777777" w:rsidR="00834C16" w:rsidRPr="00834C16" w:rsidRDefault="00834C16" w:rsidP="001D4E81">
      <w:pPr>
        <w:shd w:val="clear" w:color="auto" w:fill="FFFFFF"/>
        <w:spacing w:after="225" w:line="390" w:lineRule="atLeast"/>
        <w:ind w:left="567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1. a)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daunele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care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rezultă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din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vătămarea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vieții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gram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</w:t>
      </w:r>
      <w:proofErr w:type="gram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integrității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corporale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sănătății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,</w:t>
      </w:r>
    </w:p>
    <w:p w14:paraId="42F43A9E" w14:textId="77777777" w:rsidR="007E717D" w:rsidRDefault="00834C16" w:rsidP="001D4E81">
      <w:pPr>
        <w:shd w:val="clear" w:color="auto" w:fill="FFFFFF"/>
        <w:spacing w:after="225" w:line="390" w:lineRule="atLeast"/>
        <w:ind w:left="567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2. b)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daunele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rezultate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din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încălcarea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nu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nesemnificativă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unei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obligații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contractuale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esențiale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obligație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cărei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îndeplinire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face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posibilă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primul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rând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executarea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corespunzătoare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contractului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pe a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cărei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respectare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partea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contractantă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se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bazează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mod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regulat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se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poate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baza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);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acest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caz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totuși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răspunderea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noastră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se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limitează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despăgubirea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daunele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previzibile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care se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produc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mod </w:t>
      </w:r>
      <w:proofErr w:type="spellStart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obișnuit</w:t>
      </w:r>
      <w:proofErr w:type="spellEnd"/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.</w:t>
      </w:r>
      <w:r w:rsidRPr="00834C16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</w:p>
    <w:p w14:paraId="776D44DE" w14:textId="03B4C1FC" w:rsidR="000D776C" w:rsidRPr="002700D5" w:rsidRDefault="000D776C" w:rsidP="001D4E81">
      <w:pPr>
        <w:shd w:val="clear" w:color="auto" w:fill="FFFFFF"/>
        <w:spacing w:after="225" w:line="390" w:lineRule="atLeast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(3)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Limitările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răspundere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care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rezultă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din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alineatul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(2) se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aplică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cazul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încălcărilor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obligațiilor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către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beneficiul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persoanelor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căror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culpă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suntem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responsabili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conformitate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cu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dispozițiile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legale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Acestea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nu se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aplică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măsura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care am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ascuns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mod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fraudulos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un defect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ne-am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asumat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o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garanție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calitatea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bunurilor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pretențiile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cumpărătorului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temeiul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Legii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privind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răspunderea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produse</w:t>
      </w:r>
      <w:proofErr w:type="spellEnd"/>
      <w:r w:rsidRPr="000D776C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.</w:t>
      </w:r>
    </w:p>
    <w:p w14:paraId="275E56FB" w14:textId="77777777" w:rsidR="007304F4" w:rsidRPr="002700D5" w:rsidRDefault="007304F4" w:rsidP="001D4E8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 xml:space="preserve">9 </w:t>
      </w:r>
      <w:proofErr w:type="spellStart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>Alegerea</w:t>
      </w:r>
      <w:proofErr w:type="spellEnd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>legii</w:t>
      </w:r>
      <w:proofErr w:type="spellEnd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 xml:space="preserve"> </w:t>
      </w:r>
      <w:proofErr w:type="spellStart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>și</w:t>
      </w:r>
      <w:proofErr w:type="spellEnd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 xml:space="preserve"> a </w:t>
      </w:r>
      <w:proofErr w:type="spellStart"/>
      <w:r w:rsidRPr="002700D5">
        <w:rPr>
          <w:rFonts w:ascii="Museo Sans" w:eastAsia="Times New Roman" w:hAnsi="Museo Sans" w:cs="Times New Roman"/>
          <w:b/>
          <w:bCs/>
          <w:color w:val="7C7C7C"/>
          <w:kern w:val="0"/>
          <w:sz w:val="21"/>
          <w:szCs w:val="21"/>
          <w:lang w:eastAsia="en-GB"/>
          <w14:ligatures w14:val="none"/>
        </w:rPr>
        <w:t>jurisdicției</w:t>
      </w:r>
      <w:proofErr w:type="spellEnd"/>
    </w:p>
    <w:p w14:paraId="65C35BF7" w14:textId="12E9138D" w:rsidR="00507D18" w:rsidRDefault="00507D18" w:rsidP="001D4E81">
      <w:pPr>
        <w:shd w:val="clear" w:color="auto" w:fill="FFFFFF"/>
        <w:spacing w:after="225" w:line="390" w:lineRule="atLeast"/>
        <w:jc w:val="both"/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</w:pPr>
      <w:r w:rsidRPr="00507D1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(1) </w:t>
      </w:r>
      <w:proofErr w:type="spellStart"/>
      <w:r w:rsidRPr="00507D1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507D1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07D1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prezentele</w:t>
      </w:r>
      <w:proofErr w:type="spellEnd"/>
      <w:r w:rsidRPr="00507D1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TCG</w:t>
      </w:r>
      <w:r w:rsidRPr="00507D1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07D1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507D1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07D1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507D1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07D1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relația</w:t>
      </w:r>
      <w:proofErr w:type="spellEnd"/>
      <w:r w:rsidRPr="00507D1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07D1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contractuală</w:t>
      </w:r>
      <w:proofErr w:type="spellEnd"/>
      <w:r w:rsidRPr="00507D1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07D1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dintre</w:t>
      </w:r>
      <w:proofErr w:type="spellEnd"/>
      <w:r w:rsidRPr="00507D1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07D1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noi</w:t>
      </w:r>
      <w:proofErr w:type="spellEnd"/>
      <w:r w:rsidRPr="00507D1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07D1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și</w:t>
      </w:r>
      <w:proofErr w:type="spellEnd"/>
      <w:r w:rsidRPr="00507D1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07D1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cumpărător</w:t>
      </w:r>
      <w:proofErr w:type="spellEnd"/>
      <w:r w:rsidRPr="00507D1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se </w:t>
      </w:r>
      <w:proofErr w:type="spellStart"/>
      <w:r w:rsidRPr="00507D1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aplică</w:t>
      </w:r>
      <w:proofErr w:type="spellEnd"/>
      <w:r w:rsidRPr="00507D1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507D1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legislația</w:t>
      </w:r>
      <w:proofErr w:type="spellEnd"/>
      <w:r w:rsidRPr="00507D1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din Romania</w:t>
      </w:r>
      <w:r w:rsidRPr="00507D1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r w:rsidR="00173AE3" w:rsidRPr="00173AE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cu </w:t>
      </w:r>
      <w:proofErr w:type="spellStart"/>
      <w:r w:rsidR="00173AE3" w:rsidRPr="00173AE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excluderea</w:t>
      </w:r>
      <w:proofErr w:type="spellEnd"/>
      <w:r w:rsidR="00173AE3" w:rsidRPr="00173AE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173AE3" w:rsidRPr="00173AE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dreptului</w:t>
      </w:r>
      <w:proofErr w:type="spellEnd"/>
      <w:r w:rsidR="00173AE3" w:rsidRPr="00173AE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173AE3" w:rsidRPr="00173AE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internațional</w:t>
      </w:r>
      <w:proofErr w:type="spellEnd"/>
      <w:r w:rsidR="00173AE3" w:rsidRPr="00173AE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173AE3" w:rsidRPr="00173AE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unitar</w:t>
      </w:r>
      <w:proofErr w:type="spellEnd"/>
      <w:r w:rsidR="00173AE3" w:rsidRPr="00173AE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="00173AE3" w:rsidRPr="00173AE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="00173AE3" w:rsidRPr="00173AE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special a </w:t>
      </w:r>
      <w:proofErr w:type="spellStart"/>
      <w:r w:rsidR="00173AE3" w:rsidRPr="00173AE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Convenției</w:t>
      </w:r>
      <w:proofErr w:type="spellEnd"/>
      <w:r w:rsidR="00173AE3" w:rsidRPr="00173AE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ONU </w:t>
      </w:r>
      <w:proofErr w:type="spellStart"/>
      <w:r w:rsidR="00173AE3" w:rsidRPr="00173AE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privind</w:t>
      </w:r>
      <w:proofErr w:type="spellEnd"/>
      <w:r w:rsidR="00173AE3" w:rsidRPr="00173AE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173AE3" w:rsidRPr="00173AE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contractele</w:t>
      </w:r>
      <w:proofErr w:type="spellEnd"/>
      <w:r w:rsidR="00173AE3" w:rsidRPr="00173AE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="00173AE3" w:rsidRPr="00173AE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vânzare</w:t>
      </w:r>
      <w:proofErr w:type="spellEnd"/>
      <w:r w:rsidR="00173AE3" w:rsidRPr="00173AE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="00173AE3" w:rsidRPr="00173AE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internațională</w:t>
      </w:r>
      <w:proofErr w:type="spellEnd"/>
      <w:r w:rsidR="00173AE3" w:rsidRPr="00173AE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="00173AE3" w:rsidRPr="00173AE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mărfuri</w:t>
      </w:r>
      <w:proofErr w:type="spellEnd"/>
      <w:r w:rsidR="00173AE3" w:rsidRPr="00173AE3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.</w:t>
      </w:r>
    </w:p>
    <w:p w14:paraId="28EA1CBD" w14:textId="609F8EF5" w:rsidR="00FB058A" w:rsidRPr="002700D5" w:rsidRDefault="008F0648" w:rsidP="001D4E81">
      <w:pPr>
        <w:jc w:val="both"/>
      </w:pPr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(2)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cazul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care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cumpărătorul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este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un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comerciant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conformitate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cu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Codul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comercial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r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roman</w:t>
      </w:r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o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persoană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juridică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drept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public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un fond special de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drept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public,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locul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exclusiv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jurisdicție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pentru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toate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litigiile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care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decurg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direct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indirect din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relația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contractuală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este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sediul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nostru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social. Cu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toate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acestea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toate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cazurile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avem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de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asemenea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dreptul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a introduce o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acțiune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locul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executare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gram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</w:t>
      </w:r>
      <w:proofErr w:type="gram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obligației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de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livrare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conformitate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cu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prezentele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r w:rsidR="00F86EC1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T</w:t>
      </w:r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CG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cu un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acord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individual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prioritar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sau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locul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general de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jurisdicție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al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cumpărătorului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Dispozițiile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legale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prioritare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în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special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cele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referitoare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la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competențele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exclusive,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rămân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neafectate</w:t>
      </w:r>
      <w:proofErr w:type="spellEnd"/>
      <w:r w:rsidRPr="008F0648">
        <w:rPr>
          <w:rFonts w:ascii="Museo Sans" w:eastAsia="Times New Roman" w:hAnsi="Museo Sans" w:cs="Times New Roman"/>
          <w:color w:val="7C7C7C"/>
          <w:kern w:val="0"/>
          <w:sz w:val="24"/>
          <w:szCs w:val="24"/>
          <w:lang w:eastAsia="en-GB"/>
          <w14:ligatures w14:val="none"/>
        </w:rPr>
        <w:t>.</w:t>
      </w:r>
    </w:p>
    <w:sectPr w:rsidR="00FB058A" w:rsidRPr="00270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useo San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E33"/>
    <w:multiLevelType w:val="multilevel"/>
    <w:tmpl w:val="624C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55C10"/>
    <w:multiLevelType w:val="multilevel"/>
    <w:tmpl w:val="5AF0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F7EC8"/>
    <w:multiLevelType w:val="multilevel"/>
    <w:tmpl w:val="1100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81616"/>
    <w:multiLevelType w:val="multilevel"/>
    <w:tmpl w:val="1B58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B56C8"/>
    <w:multiLevelType w:val="multilevel"/>
    <w:tmpl w:val="EEF0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281BB0"/>
    <w:multiLevelType w:val="multilevel"/>
    <w:tmpl w:val="A9F4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93525"/>
    <w:multiLevelType w:val="multilevel"/>
    <w:tmpl w:val="F2543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D8529E6"/>
    <w:multiLevelType w:val="multilevel"/>
    <w:tmpl w:val="0868E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EE60879"/>
    <w:multiLevelType w:val="multilevel"/>
    <w:tmpl w:val="71729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FB061D5"/>
    <w:multiLevelType w:val="multilevel"/>
    <w:tmpl w:val="C5C0E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9B174C"/>
    <w:multiLevelType w:val="multilevel"/>
    <w:tmpl w:val="03D2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A357AD"/>
    <w:multiLevelType w:val="multilevel"/>
    <w:tmpl w:val="B57E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14750A"/>
    <w:multiLevelType w:val="multilevel"/>
    <w:tmpl w:val="B308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B367A2D"/>
    <w:multiLevelType w:val="multilevel"/>
    <w:tmpl w:val="D292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E9626B"/>
    <w:multiLevelType w:val="multilevel"/>
    <w:tmpl w:val="EABC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870908"/>
    <w:multiLevelType w:val="multilevel"/>
    <w:tmpl w:val="2FC4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AF6617"/>
    <w:multiLevelType w:val="multilevel"/>
    <w:tmpl w:val="9FC4C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A417D62"/>
    <w:multiLevelType w:val="multilevel"/>
    <w:tmpl w:val="CEBA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343B67"/>
    <w:multiLevelType w:val="multilevel"/>
    <w:tmpl w:val="1C9E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9133E6"/>
    <w:multiLevelType w:val="multilevel"/>
    <w:tmpl w:val="7A42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CF03BB"/>
    <w:multiLevelType w:val="multilevel"/>
    <w:tmpl w:val="BB64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BD615A"/>
    <w:multiLevelType w:val="multilevel"/>
    <w:tmpl w:val="EF4C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FE6BA3"/>
    <w:multiLevelType w:val="multilevel"/>
    <w:tmpl w:val="5410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5278B7"/>
    <w:multiLevelType w:val="multilevel"/>
    <w:tmpl w:val="C6DC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D404F0"/>
    <w:multiLevelType w:val="multilevel"/>
    <w:tmpl w:val="2DB8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524F7B"/>
    <w:multiLevelType w:val="multilevel"/>
    <w:tmpl w:val="E5C2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976EB4"/>
    <w:multiLevelType w:val="multilevel"/>
    <w:tmpl w:val="7C1C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6D6E2B"/>
    <w:multiLevelType w:val="multilevel"/>
    <w:tmpl w:val="77A8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447F89"/>
    <w:multiLevelType w:val="multilevel"/>
    <w:tmpl w:val="23C4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CA620C"/>
    <w:multiLevelType w:val="multilevel"/>
    <w:tmpl w:val="7138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0675FB"/>
    <w:multiLevelType w:val="multilevel"/>
    <w:tmpl w:val="CCEC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0E622F"/>
    <w:multiLevelType w:val="multilevel"/>
    <w:tmpl w:val="CBE6E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A14873"/>
    <w:multiLevelType w:val="multilevel"/>
    <w:tmpl w:val="2CF6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3F054A"/>
    <w:multiLevelType w:val="multilevel"/>
    <w:tmpl w:val="1032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34900C7"/>
    <w:multiLevelType w:val="multilevel"/>
    <w:tmpl w:val="1C707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6EA3094"/>
    <w:multiLevelType w:val="multilevel"/>
    <w:tmpl w:val="D89A2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7A295A7B"/>
    <w:multiLevelType w:val="multilevel"/>
    <w:tmpl w:val="BDD0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157655"/>
    <w:multiLevelType w:val="multilevel"/>
    <w:tmpl w:val="BB6C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0766196">
    <w:abstractNumId w:val="27"/>
  </w:num>
  <w:num w:numId="2" w16cid:durableId="1611013389">
    <w:abstractNumId w:val="3"/>
  </w:num>
  <w:num w:numId="3" w16cid:durableId="879197878">
    <w:abstractNumId w:val="14"/>
  </w:num>
  <w:num w:numId="4" w16cid:durableId="951714115">
    <w:abstractNumId w:val="30"/>
  </w:num>
  <w:num w:numId="5" w16cid:durableId="404884759">
    <w:abstractNumId w:val="0"/>
  </w:num>
  <w:num w:numId="6" w16cid:durableId="1896315570">
    <w:abstractNumId w:val="26"/>
  </w:num>
  <w:num w:numId="7" w16cid:durableId="805463826">
    <w:abstractNumId w:val="21"/>
  </w:num>
  <w:num w:numId="8" w16cid:durableId="1981496361">
    <w:abstractNumId w:val="36"/>
  </w:num>
  <w:num w:numId="9" w16cid:durableId="2006934906">
    <w:abstractNumId w:val="9"/>
  </w:num>
  <w:num w:numId="10" w16cid:durableId="396516261">
    <w:abstractNumId w:val="19"/>
  </w:num>
  <w:num w:numId="11" w16cid:durableId="1910845967">
    <w:abstractNumId w:val="22"/>
  </w:num>
  <w:num w:numId="12" w16cid:durableId="1826240809">
    <w:abstractNumId w:val="15"/>
  </w:num>
  <w:num w:numId="13" w16cid:durableId="1882739776">
    <w:abstractNumId w:val="2"/>
  </w:num>
  <w:num w:numId="14" w16cid:durableId="801852047">
    <w:abstractNumId w:val="25"/>
  </w:num>
  <w:num w:numId="15" w16cid:durableId="414864822">
    <w:abstractNumId w:val="5"/>
  </w:num>
  <w:num w:numId="16" w16cid:durableId="1998261257">
    <w:abstractNumId w:val="29"/>
  </w:num>
  <w:num w:numId="17" w16cid:durableId="259217226">
    <w:abstractNumId w:val="23"/>
  </w:num>
  <w:num w:numId="18" w16cid:durableId="837890424">
    <w:abstractNumId w:val="1"/>
  </w:num>
  <w:num w:numId="19" w16cid:durableId="1812357047">
    <w:abstractNumId w:val="37"/>
  </w:num>
  <w:num w:numId="20" w16cid:durableId="883714635">
    <w:abstractNumId w:val="13"/>
  </w:num>
  <w:num w:numId="21" w16cid:durableId="1190797300">
    <w:abstractNumId w:val="24"/>
  </w:num>
  <w:num w:numId="22" w16cid:durableId="632366616">
    <w:abstractNumId w:val="4"/>
  </w:num>
  <w:num w:numId="23" w16cid:durableId="339892532">
    <w:abstractNumId w:val="10"/>
  </w:num>
  <w:num w:numId="24" w16cid:durableId="254746870">
    <w:abstractNumId w:val="32"/>
  </w:num>
  <w:num w:numId="25" w16cid:durableId="1977107355">
    <w:abstractNumId w:val="11"/>
  </w:num>
  <w:num w:numId="26" w16cid:durableId="1632057640">
    <w:abstractNumId w:val="20"/>
  </w:num>
  <w:num w:numId="27" w16cid:durableId="1051537999">
    <w:abstractNumId w:val="28"/>
  </w:num>
  <w:num w:numId="28" w16cid:durableId="1547259477">
    <w:abstractNumId w:val="17"/>
  </w:num>
  <w:num w:numId="29" w16cid:durableId="2048795654">
    <w:abstractNumId w:val="31"/>
  </w:num>
  <w:num w:numId="30" w16cid:durableId="532575816">
    <w:abstractNumId w:val="18"/>
  </w:num>
  <w:num w:numId="31" w16cid:durableId="1673678816">
    <w:abstractNumId w:val="12"/>
  </w:num>
  <w:num w:numId="32" w16cid:durableId="1449739584">
    <w:abstractNumId w:val="35"/>
  </w:num>
  <w:num w:numId="33" w16cid:durableId="1200357679">
    <w:abstractNumId w:val="6"/>
  </w:num>
  <w:num w:numId="34" w16cid:durableId="2059431891">
    <w:abstractNumId w:val="8"/>
  </w:num>
  <w:num w:numId="35" w16cid:durableId="18510342">
    <w:abstractNumId w:val="7"/>
  </w:num>
  <w:num w:numId="36" w16cid:durableId="723915625">
    <w:abstractNumId w:val="33"/>
  </w:num>
  <w:num w:numId="37" w16cid:durableId="1945267167">
    <w:abstractNumId w:val="16"/>
  </w:num>
  <w:num w:numId="38" w16cid:durableId="81005578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E7"/>
    <w:rsid w:val="0004216A"/>
    <w:rsid w:val="000D0C6F"/>
    <w:rsid w:val="000D776C"/>
    <w:rsid w:val="00173AE3"/>
    <w:rsid w:val="001A0FF3"/>
    <w:rsid w:val="001D4E81"/>
    <w:rsid w:val="0021485A"/>
    <w:rsid w:val="0023178F"/>
    <w:rsid w:val="002700D5"/>
    <w:rsid w:val="00272C0C"/>
    <w:rsid w:val="00281209"/>
    <w:rsid w:val="00316F8B"/>
    <w:rsid w:val="004406B4"/>
    <w:rsid w:val="00507D18"/>
    <w:rsid w:val="00526492"/>
    <w:rsid w:val="006047EA"/>
    <w:rsid w:val="00664EFD"/>
    <w:rsid w:val="006D7141"/>
    <w:rsid w:val="006D7676"/>
    <w:rsid w:val="00726C1F"/>
    <w:rsid w:val="007304F4"/>
    <w:rsid w:val="00747FD0"/>
    <w:rsid w:val="007E717D"/>
    <w:rsid w:val="00834C16"/>
    <w:rsid w:val="008352B6"/>
    <w:rsid w:val="00895C56"/>
    <w:rsid w:val="008B2CDE"/>
    <w:rsid w:val="008E44D2"/>
    <w:rsid w:val="008F0648"/>
    <w:rsid w:val="009036E0"/>
    <w:rsid w:val="00955F40"/>
    <w:rsid w:val="00973769"/>
    <w:rsid w:val="00980051"/>
    <w:rsid w:val="009A409C"/>
    <w:rsid w:val="009A4FEC"/>
    <w:rsid w:val="009A65E7"/>
    <w:rsid w:val="00AF1B13"/>
    <w:rsid w:val="00B75FE6"/>
    <w:rsid w:val="00BE30F9"/>
    <w:rsid w:val="00CC0725"/>
    <w:rsid w:val="00E23DCE"/>
    <w:rsid w:val="00E32C06"/>
    <w:rsid w:val="00E41C6A"/>
    <w:rsid w:val="00E440FA"/>
    <w:rsid w:val="00E8754A"/>
    <w:rsid w:val="00ED5FB8"/>
    <w:rsid w:val="00F86EC1"/>
    <w:rsid w:val="00FB058A"/>
    <w:rsid w:val="00F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9C570"/>
  <w15:chartTrackingRefBased/>
  <w15:docId w15:val="{9C748B52-BFC6-4BF2-BC21-8B260BD9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5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5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65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5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65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65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65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65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65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5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65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65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65E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65E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65E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65E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65E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65E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A65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65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65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65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A65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65E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A65E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A65E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65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65E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A65E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D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6D7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2139</Words>
  <Characters>12197</Characters>
  <Application>Microsoft Office Word</Application>
  <DocSecurity>0</DocSecurity>
  <Lines>101</Lines>
  <Paragraphs>28</Paragraphs>
  <ScaleCrop>false</ScaleCrop>
  <Company/>
  <LinksUpToDate>false</LinksUpToDate>
  <CharactersWithSpaces>14308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Paval</dc:creator>
  <cp:keywords/>
  <dc:description/>
  <cp:lastModifiedBy>Bogdan Popa</cp:lastModifiedBy>
  <cp:revision>48</cp:revision>
  <dcterms:created xsi:type="dcterms:W3CDTF">2024-03-05T08:30:00Z</dcterms:created>
  <dcterms:modified xsi:type="dcterms:W3CDTF">2024-03-05T10:23:00Z</dcterms:modified>
</cp:coreProperties>
</file>